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505</w:t>
      </w:r>
    </w:p>
    <w:p>
      <w:r>
        <w:t>Bundesgericht (BGE), 2019-09-12, FR</w:t>
      </w:r>
    </w:p>
    <w:p>
      <w:r>
        <w:rPr>
          <w:b/>
        </w:rPr>
        <w:t xml:space="preserve">Quelle: </w:t>
      </w:r>
      <w:r>
        <w:t>https://mcp.opencaselaw.ch/entscheid/bge_147 IV 505</w:t>
      </w:r>
    </w:p>
    <w:p>
      <w:r>
        <w:t>FR: ATF 147 IV 505</w:t>
      </w:r>
    </w:p>
    <w:p>
      <w:r>
        <w:t>IT: DTF 147 IV 505</w:t>
      </w:r>
    </w:p>
    <w:p>
      <w:pPr>
        <w:pStyle w:val="Heading2"/>
      </w:pPr>
      <w:r>
        <w:t>Regeste</w:t>
      </w:r>
    </w:p>
    <w:p>
      <w:r>
        <w:t>Regeste Art. 3 Abs. 2 lit. a, Art. 381 Abs. 1, Art. 391 Abs. 2, Art. 401 StPO; Zulässigkeit der Anschlussberufung; Grundsatz von Treu und Glauben im Strafverfahren. Legitimation der Staatsanwaltschaft, Anschlussberufung zu erheben, um damit das Verbot der reformatio in peius aufzuheben (vgl. Art. 391 Abs. 2 StPO; E. 4.4). Die Anschlussberufung ist nicht zulässig, wenn sie ohne nähere Begründung auf die Frage der Strafzumessung beschränkt bleibt, obwohl die Erstinstanz dem diesbezüglichen Antrag der Staatsanwaltschaft vollumfänglich gefolgt war (E. 4.4.3).</w:t>
      </w:r>
    </w:p>
    <w:p>
      <w:pPr>
        <w:pStyle w:val="Heading2"/>
      </w:pPr>
      <w:r>
        <w:t>Erwägungen</w:t>
      </w:r>
    </w:p>
    <w:p>
      <w:r>
        <w:rPr>
          <w:b/>
        </w:rPr>
        <w:t>E. 4</w:t>
      </w:r>
    </w:p>
    <w:p>
      <w:r>
        <w:t>(...)</w:t>
      </w:r>
    </w:p>
    <w:p>
      <w:r>
        <w:rPr>
          <w:b/>
        </w:rPr>
        <w:t>E. 4.4</w:t>
      </w:r>
    </w:p>
    <w:p>
      <w:r>
        <w:t>Il reste encore à examiner les critiques exprimées par le recourant en lien avec la recevabilité des conclusions prises par le Ministère public dans son appel joint et l'application dans ce contexte du principe de l'interdiction de la reformatio in pejus . Il est à cet égard rappelé qu'en l'espèce, le Ministère public avait requis, par appel joint limité à la seule quotité de la peine, le prononcé d'une peine privative de liberté de 5 ans et demi, alors qu'en première instance, il s'était borné à demander une peine privative de liberté de 4 ans, peine qui avait été effectivement prononcée par l'autorité de première instance.</w:t>
      </w:r>
    </w:p>
    <w:p>
      <w:r>
        <w:rPr>
          <w:b/>
        </w:rPr>
        <w:t>E. 4.4.1</w:t>
      </w:r>
    </w:p>
    <w:p>
      <w:r>
        <w:t>Certes, contrairement à ce qui prévaut pour les autres parties à la procédure (cf. art. 382 al. 1 CPP ),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 sans avoir besoin de justifier au surplus d'être directement lésé par le jugement attaqué (Message du 21 décembre 2005 relatif à l'unification du droit de la procédure pénale [ci-après: Message], FF 2006 1057, 1292; VIKTOR LIEBER, in Kommentar zur Schweizerischen Strafprozessordnung [StPO], Donatsch/Lieber/Summers/Wohlers [éd.], 3 e éd. 2020, vol. II, n° 2 ad art. 381 CPP ; RICHARD CALAME, in BGE 147 IV 505 S. 508 Commentaire romand, Code de procédure pénale suisse, 2 e éd. 2019, n° 5 ad art. 381 CPP ; SCHMID/JOSITSCH, Handbuch des Schweizerischen Strafprozessrechts, 3 e éd. 2017, n. 1455 p. 653).</w:t>
      </w:r>
    </w:p>
    <w:p>
      <w:r>
        <w:rPr>
          <w:b/>
        </w:rPr>
        <w:t>E. 4.4.2</w:t>
      </w:r>
    </w:p>
    <w:p>
      <w:r>
        <w:t>Pour autant, si ces considérations sont susceptibles de valoir pleinement s'agissant d'un recours (cf. art. 393 CPP ) ou d'un appel principal (cf. art. 398 CPP ) déposé par le ministère public, on ne saurait d'emblée admettre qu'il doive en aller de même en toutes circonstances pour un appel joint (cf. art. 401 CPP ), dont le caractère exclusivement accessoire par rapport à l'appel principal et les possibilités d'en abuser supposent une approche plus nuancée de la légitimation du ministère public. Ainsi, le dépôt d'un appel joint implique, par définition, que son auteur ait précisément renoncé à former un appel principal et qu'il s'était dès lors accommodé du jugement entrepris, à tout le moins sur le point soulevé dans l'appel joint. Emanant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 au détriment du prévenu auteur de l'appel principal (cf. art. 391 al. 2, 1 re phrase, a contrario CPP), et d'inciter indirectement ce dernier à le retirer (cf. MARLÈNE KISTLER VIANIN, in Commentaire romand, Code de procédure pénale suisse, 2 e éd. 2019, n° 2 ad art. 381 CPP ; GÉRARD PIQUEREZ, Traité de procédure pénale, 2 e éd. 2006, n. 1234 p. 767).</w:t>
      </w:r>
    </w:p>
    <w:p>
      <w:r>
        <w:rPr>
          <w:b/>
        </w:rPr>
        <w:t>E. 4.4.3</w:t>
      </w:r>
    </w:p>
    <w:p>
      <w:r>
        <w:t>Avant l'introduction du CPP, certains cantons ne connaissaient pas l'appel joint et d'autres avaient supprimé la possibilité pour le ministère public d'en former (en particulier les cantons de Berne et du Jura; cf. KISTLER VIANIN, op. cit., note de bas de page 2 ad art. 401 CPP ). Le législateur fédéral a pour sa part choisi d'introduire l'appel joint (cf. art. 401 CPP ), tout en obligeant le ministère public à comparaître aux débats dans une telle hypothèse (cf. art. 405 al. 3 let. b CPP ), cela afin de réduire les cas, constatés comme étant fréquents en pratique, dans lesquels l'appel joint était interjeté pour amener le prévenu à retirer son appel principal (cf. Message, FF 2006 1057, 1300 s.). Néanmoins, s'il en ressort que le législateur avait bien conscience des potentiels abus susceptibles de survenir dans le cadre du recours à l'appel joint, il demeure en l'état loisible au ministère public, sans qu'une comparution à l'audience consacre une BGE 147 IV 505 S. 509 perspective réellement dissuasive, d'interjeter un appel joint à la suite de tout appel principal d'un prévenu. Cela ne saurait toutefois être admis si le seul et unique but de l'appel joint est de faire pression sur le prévenu.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 sans que le sort de ses réquisitions dépende d'un éventuel retrait de l'appel principal du prévenu, qui aurait pour conséquence de rendre son appel joint caduc (cf. art. 401 al. 3 CPP ; cf. PIQUEREZ, op. cit., n. 1219 p. 760). Dans ce contexte, si, au regard de l' art. 381 al. 1 CPP , il n'y a pas matière à exiger du ministère public qu'il puisse justifier d'un intérêt juridiquement protégé lors du dépôt d'un appel joint, les considérations qui précèdent doivent en revanche conduire à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 ATF 144 IV 189 consid. 5.1 p. 192). Il en va en particulier ainsi lorsque le ministère public forme, sans motivation précise et en l'absence de faits nouveaux dont il entendait par hypothèse se prévaloir (cf. art. 391 al. 2, 2 e phrase, CPP), un appel joint sur la seule question de la peine en en demandant une aggravation, alors que ses réquisitions à cet égard avaient été intégralement suivies par l'autorité de première instance.</w:t>
      </w:r>
    </w:p>
    <w:p>
      <w:r>
        <w:rPr>
          <w:b/>
        </w:rPr>
        <w:t>E. 4.4.4</w:t>
      </w:r>
    </w:p>
    <w:p>
      <w:r>
        <w:t>En l'espèce, le Ministère public a conclu, dans le cadre de son appel joint, au prononcé d'une peine privative de liberté de 5 ans et demi, sans motiver plus avant cette réquisition, alors qu'il s'était pourtant limité en première instance à demander une peine privative de liberté de 4 ans, qu'il avait obtenue. Cette démarche consacre un comportement contradictoire dans l'exercice de l'action publique, ce d'autant plus qu'en l'occurrence, la peine requise par appel joint n'aurait pas pu être prononcée par l'autorité de première instance devant laquelle le Ministère public avait porté l'accusation, dès lors qu'elle excédait la compétence de celle-là, qui était limitée aux peines inférieures à 5 ans en vertu du droit cantonal d'organisation judiciaire (cf. art. 56 al. 2 let. b et c de la loi du 11 juin 2009 portant introduction du code de procédure civile, du code de procédure pénale et de BGE 147 IV 505 S. 510 la loi sur la procédure pénale applicable aux mineurs [LiCPM/BE; RSB 271.1]). Cela étant, la cour cantonale aurait dû constater qu'au regard des art. 3 al. 2 let. a, 381 al. 1 et 401 CPP, le Ministère public n'était pas légitimé à former un appel joint et qu'il n'y avait donc pas lieu d'entrer en matière sur celui-ci. Dès lors, le principe de l'interdiction de la reformatio in pejus trouvait pleinement application, ce qui empêchait la cour cantonale de prononcer une peine de privation de liberté plus sévère qu'en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